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晋江市卫生类博士人才一次性安家费补助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细化标准</w:t>
      </w:r>
      <w:bookmarkEnd w:id="0"/>
      <w:r>
        <w:rPr>
          <w:rFonts w:hint="eastAsia" w:ascii="Times New Roman" w:hAnsi="Times New Roman" w:eastAsia="方正小标宋简体"/>
          <w:sz w:val="44"/>
          <w:szCs w:val="44"/>
        </w:rPr>
        <w:t>（试行）</w:t>
      </w:r>
    </w:p>
    <w:p>
      <w:pPr>
        <w:spacing w:line="52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根据中共晋江市委、晋江市人民政府《关于实施晋江市博士人才助力产业升级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远航计划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的意见》要求，对签订连续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年服务期限的博士给予一次性安家补助，其中医疗卫生单位全职工作的博士给予</w:t>
      </w:r>
      <w:r>
        <w:rPr>
          <w:rFonts w:ascii="Times New Roman" w:hAnsi="Times New Roman" w:eastAsia="仿宋_GB2312"/>
          <w:sz w:val="32"/>
          <w:szCs w:val="32"/>
        </w:rPr>
        <w:t>20-50</w:t>
      </w:r>
      <w:r>
        <w:rPr>
          <w:rFonts w:hint="eastAsia" w:ascii="Times New Roman" w:hAnsi="Times New Roman" w:eastAsia="仿宋_GB2312"/>
          <w:sz w:val="32"/>
          <w:szCs w:val="32"/>
        </w:rPr>
        <w:t>万元。现就具体补助标准制定如下：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一、引进时已取得博士学位的人才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（一）临床专业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、第一档（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万元，符合以下条件之一，下同）：①紧缺急需临床专业，</w:t>
      </w:r>
      <w:r>
        <w:rPr>
          <w:rFonts w:ascii="Times New Roman" w:hAnsi="Times New Roman" w:eastAsia="仿宋_GB2312"/>
          <w:sz w:val="32"/>
          <w:szCs w:val="32"/>
        </w:rPr>
        <w:t xml:space="preserve"> 2018</w:t>
      </w:r>
      <w:r>
        <w:rPr>
          <w:rFonts w:hint="eastAsia" w:ascii="Times New Roman" w:hAnsi="Times New Roman" w:eastAsia="仿宋_GB2312"/>
          <w:sz w:val="32"/>
          <w:szCs w:val="32"/>
        </w:rPr>
        <w:t>年确定产科、儿科、精神科为紧缺急需专业；②近五年，科研课题获得地市级一等奖及以上（前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位完成人）、地市级二、三等奖（第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、第二档（</w:t>
      </w: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万元）：未达到第一档标准的其他临床专业。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（二）麻醉、影像专业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、第一档（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万元）：近五年，科研课题获得省部级一等奖及以上（前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位完成人）、省部级二、三等奖（第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、第二档（</w:t>
      </w: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万元）：近五年，科研课题获得地市级一等奖及以上（前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位完成人）或地市级二、三等奖（第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、第三档（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万元）：未达到上述两档标准的其他麻醉、影像专业。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（三）其他卫生相关专业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、第一档（</w:t>
      </w: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万元）：近五年，科研课题获得省部级一等奖及以上（前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位完成人）、省部级二、三等奖（第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、第二档（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万元）：近五年，科研课题获得地市级一等奖及以上（前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位完成人）或地市级二、三等奖（第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、第三档（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万元）：未达到上述两档标准的其他卫生相关专业。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二、在我市工作后取得博士学位的人才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、第一档（</w:t>
      </w: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万元）：①紧缺急需临床专业，</w:t>
      </w:r>
      <w:r>
        <w:rPr>
          <w:rFonts w:ascii="Times New Roman" w:hAnsi="Times New Roman" w:eastAsia="仿宋_GB2312"/>
          <w:sz w:val="32"/>
          <w:szCs w:val="32"/>
        </w:rPr>
        <w:t xml:space="preserve"> 2018</w:t>
      </w:r>
      <w:r>
        <w:rPr>
          <w:rFonts w:hint="eastAsia" w:ascii="Times New Roman" w:hAnsi="Times New Roman" w:eastAsia="仿宋_GB2312"/>
          <w:sz w:val="32"/>
          <w:szCs w:val="32"/>
        </w:rPr>
        <w:t>年确定产科、儿科、精神科为紧缺急需专业；②临床专业中，近五年科研课题获得地市级一等奖及以上（前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位完成人）或地市级二、三等奖（第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完成人）；③麻醉、影像专业中，近五年科研课题获得省部级一等奖及以上（前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位完成人）、省部级二、三等奖（第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、第二档（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万元）：①未达到第一档标准的其他临床专业；②麻醉、影像专业中，近五年科研课题获得地市级一等奖及以上（前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位完成人）或地市级二、三等奖（第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完成人）；③临床、麻醉、影像以外的其他卫生相关专业中，近五年科研课题获得省部级一等奖及以上（前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位完成人）、省部级二、三等奖（第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完成人）。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、第三档（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万元）：未达到上述两档标准的卫生相关专业。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三、其他事项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、本标准</w:t>
      </w:r>
      <w:r>
        <w:rPr>
          <w:rFonts w:hint="eastAsia" w:ascii="Times New Roman" w:hAnsi="Times New Roman" w:eastAsia="仿宋_GB2312"/>
          <w:sz w:val="32"/>
          <w:szCs w:val="32"/>
        </w:rPr>
        <w:t>由市卫计局负责解释。</w:t>
      </w:r>
    </w:p>
    <w:tbl>
      <w:tblPr>
        <w:tblStyle w:val="4"/>
        <w:tblpPr w:leftFromText="180" w:rightFromText="180" w:vertAnchor="text" w:horzAnchor="margin" w:tblpY="762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0" w:type="dxa"/>
            <w:tcBorders>
              <w:left w:val="nil"/>
              <w:right w:val="nil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抄送：</w:t>
            </w:r>
            <w:r>
              <w:rPr>
                <w:rFonts w:hint="eastAsia" w:ascii="Times New Roman" w:eastAsia="仿宋_GB2312"/>
                <w:spacing w:val="-6"/>
                <w:sz w:val="28"/>
                <w:szCs w:val="28"/>
              </w:rPr>
              <w:t>市委组织部、人才办，市人社局、财政局</w:t>
            </w:r>
            <w:r>
              <w:rPr>
                <w:rFonts w:hint="eastAsia" w:ascii="Times New Roman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20" w:type="dxa"/>
            <w:tcBorders>
              <w:left w:val="nil"/>
              <w:right w:val="nil"/>
            </w:tcBorders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晋江市卫生和计划生育局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hint="eastAsia" w:ascii="Times New Roman" w:eastAsia="仿宋_GB2312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hint="eastAsia" w:ascii="Times New Roman" w:eastAsia="仿宋_GB2312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 w:ascii="Times New Roman" w:eastAsia="仿宋_GB2312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hint="eastAsia" w:ascii="Times New Roman" w:eastAsia="仿宋_GB2312"/>
                <w:sz w:val="28"/>
                <w:szCs w:val="28"/>
              </w:rPr>
              <w:t>印发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</w:p>
        </w:tc>
      </w:tr>
    </w:tbl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ascii="仿宋_GB2312" w:eastAsia="仿宋_GB2312"/>
        <w:sz w:val="28"/>
        <w:szCs w:val="28"/>
      </w:rPr>
      <w:fldChar w:fldCharType="begin"/>
    </w:r>
    <w:r>
      <w:rPr>
        <w:rStyle w:val="6"/>
        <w:rFonts w:ascii="仿宋_GB2312" w:eastAsia="仿宋_GB2312"/>
        <w:sz w:val="28"/>
        <w:szCs w:val="28"/>
      </w:rPr>
      <w:instrText xml:space="preserve">PAGE  </w:instrText>
    </w:r>
    <w:r>
      <w:rPr>
        <w:rStyle w:val="6"/>
        <w:rFonts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- 1 -</w:t>
    </w:r>
    <w:r>
      <w:rPr>
        <w:rStyle w:val="6"/>
        <w:rFonts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5F"/>
    <w:rsid w:val="00010AB6"/>
    <w:rsid w:val="00027AA8"/>
    <w:rsid w:val="00035222"/>
    <w:rsid w:val="00035481"/>
    <w:rsid w:val="00060463"/>
    <w:rsid w:val="00073680"/>
    <w:rsid w:val="00143F98"/>
    <w:rsid w:val="00157274"/>
    <w:rsid w:val="001B5B6E"/>
    <w:rsid w:val="001C4B99"/>
    <w:rsid w:val="001F7FC8"/>
    <w:rsid w:val="00213982"/>
    <w:rsid w:val="00235ED0"/>
    <w:rsid w:val="00256ADE"/>
    <w:rsid w:val="0025746A"/>
    <w:rsid w:val="002D3896"/>
    <w:rsid w:val="00353626"/>
    <w:rsid w:val="003A4644"/>
    <w:rsid w:val="003C51EF"/>
    <w:rsid w:val="003C7244"/>
    <w:rsid w:val="00407F84"/>
    <w:rsid w:val="004C6324"/>
    <w:rsid w:val="00511782"/>
    <w:rsid w:val="005334B5"/>
    <w:rsid w:val="00534632"/>
    <w:rsid w:val="00556681"/>
    <w:rsid w:val="0058064B"/>
    <w:rsid w:val="005B116B"/>
    <w:rsid w:val="005B3314"/>
    <w:rsid w:val="005C1AF6"/>
    <w:rsid w:val="0063733B"/>
    <w:rsid w:val="00664180"/>
    <w:rsid w:val="006C3C66"/>
    <w:rsid w:val="0079175F"/>
    <w:rsid w:val="00796382"/>
    <w:rsid w:val="007E7F08"/>
    <w:rsid w:val="008713A2"/>
    <w:rsid w:val="008973BF"/>
    <w:rsid w:val="008C4011"/>
    <w:rsid w:val="00982C00"/>
    <w:rsid w:val="009B0DAF"/>
    <w:rsid w:val="009C16A0"/>
    <w:rsid w:val="009C526F"/>
    <w:rsid w:val="009D5C82"/>
    <w:rsid w:val="009F6596"/>
    <w:rsid w:val="00A01807"/>
    <w:rsid w:val="00A17D53"/>
    <w:rsid w:val="00AE7642"/>
    <w:rsid w:val="00B01ED7"/>
    <w:rsid w:val="00B73A53"/>
    <w:rsid w:val="00BA310A"/>
    <w:rsid w:val="00BB3218"/>
    <w:rsid w:val="00BC058F"/>
    <w:rsid w:val="00BE0A97"/>
    <w:rsid w:val="00BF5FC2"/>
    <w:rsid w:val="00C17175"/>
    <w:rsid w:val="00C74F45"/>
    <w:rsid w:val="00D32EBF"/>
    <w:rsid w:val="00D3435A"/>
    <w:rsid w:val="00D770BE"/>
    <w:rsid w:val="00E2749E"/>
    <w:rsid w:val="00E662DB"/>
    <w:rsid w:val="00E965C1"/>
    <w:rsid w:val="00EC2A81"/>
    <w:rsid w:val="00F02B13"/>
    <w:rsid w:val="00F27232"/>
    <w:rsid w:val="00F37079"/>
    <w:rsid w:val="00F56B21"/>
    <w:rsid w:val="00F75284"/>
    <w:rsid w:val="00F90C94"/>
    <w:rsid w:val="00FA4032"/>
    <w:rsid w:val="00FC7F20"/>
    <w:rsid w:val="00FE41AE"/>
    <w:rsid w:val="3CA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1186</Characters>
  <Lines>9</Lines>
  <Paragraphs>2</Paragraphs>
  <TotalTime>10</TotalTime>
  <ScaleCrop>false</ScaleCrop>
  <LinksUpToDate>false</LinksUpToDate>
  <CharactersWithSpaces>1391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2019-11-25T02:05:00Z</dcterms:created>
  <dc:creator>zrs</dc:creator>
  <cp:lastModifiedBy>施明端</cp:lastModifiedBy>
  <cp:lastPrinted>2018-12-05T10:57:00Z</cp:lastPrinted>
  <dcterms:modified xsi:type="dcterms:W3CDTF">2021-03-09T06:55:53Z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